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DD7A4B35">
      <w:pPr>
        <w:pStyle w:val="style0"/>
        <w:spacing w:before="0" w:beforeAutospacing="true" w:after="100" w:afterAutospacing="true"/>
        <w:jc w:val="center"/>
        <w:outlineLvl w:val="0"/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</w:pPr>
      <w:r>
        <w:rPr>
          <w:noProof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column">
              <wp:posOffset>5289550</wp:posOffset>
            </wp:positionH>
            <wp:positionV relativeFrom="paragraph">
              <wp:posOffset>225425</wp:posOffset>
            </wp:positionV>
            <wp:extent cx="1680844" cy="1447800"/>
            <wp:effectExtent l="0" t="0" r="0" b="0"/>
            <wp:wrapNone/>
            <wp:docPr id="102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 l="3723" t="6915" r="4256" b="13831"/>
                    <a:stretch/>
                  </pic:blipFill>
                  <pic:spPr>
                    <a:xfrm rot="0">
                      <a:off x="0" y="0"/>
                      <a:ext cx="1680844" cy="1447800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br1"/>
      <w:bookmarkEnd w:id="0"/>
      <w:r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  <w:t>KENYA CERTIFICATE OF BASIC EDUCATION</w:t>
      </w:r>
    </w:p>
    <w:p w14:paraId="19F160B4">
      <w:pPr>
        <w:pStyle w:val="style0"/>
        <w:spacing w:before="100" w:beforeAutospacing="true" w:after="100" w:afterAutospacing="true"/>
        <w:jc w:val="center"/>
        <w:outlineLvl w:val="1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SENIOR SCHOOL ASSESSMENT</w:t>
      </w:r>
    </w:p>
    <w:p w14:paraId="FC3A6863">
      <w:pPr>
        <w:pStyle w:val="style0"/>
        <w:spacing w:before="100" w:beforeAutospacing="true" w:after="100" w:afterAutospacing="true"/>
        <w:jc w:val="center"/>
        <w:outlineLvl w:val="2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Times New Roman" w:cs="Times New Roman" w:hAnsi="Times New Roman"/>
          <w:noProof/>
        </w:rPr>
        <w:drawing>
          <wp:anchor distT="0" distB="0" distL="0" distR="0" simplePos="false" relativeHeight="3" behindDoc="true" locked="true" layoutInCell="true" allowOverlap="true">
            <wp:simplePos x="0" y="0"/>
            <wp:positionH relativeFrom="margin">
              <wp:posOffset>-476249</wp:posOffset>
            </wp:positionH>
            <wp:positionV relativeFrom="page">
              <wp:posOffset>-781050</wp:posOffset>
            </wp:positionV>
            <wp:extent cx="8743950" cy="10829925"/>
            <wp:effectExtent l="0" t="0" r="0" b="9525"/>
            <wp:wrapNone/>
            <wp:docPr id="1027" name="Picture 12" descr="Wave white gradient background with line ornament. 35715137 Vector Art ...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2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8743950" cy="108299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AUGUST ASSINGMENT</w:t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 xml:space="preserve"> 2026</w:t>
      </w:r>
    </w:p>
    <w:p w14:paraId="C34CC0B7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GRADE 10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–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HISTORY AND CITIZ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ENSHIP</w:t>
      </w:r>
      <w:r>
        <w:rPr>
          <w:rFonts w:ascii="Agency FB" w:cs="Times New Roman" w:eastAsia="Times New Roman" w:hAnsi="Agency FB"/>
          <w:sz w:val="24"/>
          <w:szCs w:val="24"/>
        </w:rPr>
        <w:br/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Time: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sz w:val="24"/>
          <w:szCs w:val="24"/>
        </w:rPr>
        <w:t>2 Hours</w:t>
      </w:r>
    </w:p>
    <w:p w14:paraId="E6E59DA9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LEARNER’S DETAILS</w:t>
      </w:r>
    </w:p>
    <w:p w14:paraId="AA480CE3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Name: ____________________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____________________________.  School: 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________________________.</w:t>
      </w:r>
    </w:p>
    <w:p w14:paraId="F4EAE252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Assessment Number: 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_____________________.      Date: 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_________________________.</w:t>
      </w:r>
    </w:p>
    <w:p w14:paraId="B047041B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School Code: ________________________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_______________.        Signature: 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_______________________.</w:t>
      </w:r>
    </w:p>
    <w:p w14:paraId="8769CABB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INSTRUCTIONS TO CANDIDATES</w:t>
      </w:r>
    </w:p>
    <w:p w14:paraId="8B98A0D9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 xml:space="preserve">Write </w:t>
      </w:r>
      <w:r>
        <w:rPr>
          <w:rFonts w:ascii="Agency FB" w:cs="Times New Roman" w:eastAsia="Times New Roman" w:hAnsi="Agency FB"/>
          <w:sz w:val="24"/>
          <w:szCs w:val="24"/>
        </w:rPr>
        <w:t>the detail required above</w:t>
      </w:r>
    </w:p>
    <w:p w14:paraId="4D8E2504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This paper consists of two sections: A and B.</w:t>
      </w:r>
      <w:r>
        <w:rPr>
          <w:rFonts w:ascii="Agency FB" w:cs="Times New Roman" w:eastAsia="Times New Roman" w:hAnsi="Agency FB"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sz w:val="24"/>
          <w:szCs w:val="24"/>
        </w:rPr>
        <w:t>Answer all questions in section A and section B.</w:t>
      </w:r>
    </w:p>
    <w:p w14:paraId="43F80E29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Answer the questions in English.</w:t>
      </w:r>
    </w:p>
    <w:p w14:paraId="5837C84A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All answers MUST be written in the spaces provided in PAPER.</w:t>
      </w:r>
    </w:p>
    <w:p w14:paraId="233FC2FB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Do NOT remove any page from this question paper.</w:t>
      </w:r>
    </w:p>
    <w:p w14:paraId="586D6F00">
      <w:pPr>
        <w:pStyle w:val="style179"/>
        <w:spacing w:before="100" w:beforeAutospacing="true" w:after="100" w:afterAutospacing="true" w:lineRule="auto" w:line="240"/>
        <w:jc w:val="center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FOR OF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FICIAL USE ONLY 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1248"/>
        <w:gridCol w:w="1065"/>
        <w:gridCol w:w="1113"/>
        <w:gridCol w:w="924"/>
        <w:gridCol w:w="926"/>
        <w:gridCol w:w="926"/>
        <w:gridCol w:w="926"/>
        <w:gridCol w:w="926"/>
        <w:gridCol w:w="926"/>
        <w:gridCol w:w="926"/>
        <w:gridCol w:w="926"/>
        <w:gridCol w:w="806"/>
      </w:tblGrid>
      <w:tr w14:paraId="ACBEF11E">
        <w:trPr/>
        <w:tc>
          <w:tcPr>
            <w:tcW w:w="1188" w:type="dxa"/>
            <w:tcBorders/>
            <w:shd w:val="clear" w:color="auto" w:fill="eeece1"/>
          </w:tcPr>
          <w:p w14:paraId="617FF2F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 xml:space="preserve">SECTION </w:t>
            </w:r>
          </w:p>
        </w:tc>
        <w:tc>
          <w:tcPr>
            <w:tcW w:w="1080" w:type="dxa"/>
            <w:tcBorders/>
            <w:shd w:val="clear" w:color="auto" w:fill="eeece1"/>
            <w:hideMark/>
          </w:tcPr>
          <w:p w14:paraId="9070A7C1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 A</w:t>
            </w:r>
          </w:p>
        </w:tc>
        <w:tc>
          <w:tcPr>
            <w:tcW w:w="1170" w:type="dxa"/>
            <w:tcBorders/>
            <w:shd w:val="clear" w:color="auto" w:fill="eeece1"/>
            <w:hideMark/>
          </w:tcPr>
          <w:p w14:paraId="634B9CA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SECTION B</w:t>
            </w:r>
          </w:p>
        </w:tc>
        <w:tc>
          <w:tcPr>
            <w:tcW w:w="988" w:type="dxa"/>
            <w:tcBorders/>
            <w:shd w:val="clear" w:color="auto" w:fill="eeece1"/>
          </w:tcPr>
          <w:p w14:paraId="21C613C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% SCORE</w:t>
            </w:r>
          </w:p>
        </w:tc>
        <w:tc>
          <w:tcPr>
            <w:tcW w:w="0" w:type="auto"/>
            <w:tcBorders/>
            <w:shd w:val="clear" w:color="auto" w:fill="eeece1"/>
          </w:tcPr>
          <w:p w14:paraId="790C800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EE1</w:t>
            </w:r>
          </w:p>
        </w:tc>
        <w:tc>
          <w:tcPr>
            <w:tcW w:w="0" w:type="auto"/>
            <w:tcBorders/>
            <w:shd w:val="clear" w:color="auto" w:fill="eeece1"/>
          </w:tcPr>
          <w:p w14:paraId="1982023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EE2</w:t>
            </w:r>
          </w:p>
        </w:tc>
        <w:tc>
          <w:tcPr>
            <w:tcW w:w="0" w:type="auto"/>
            <w:tcBorders/>
            <w:shd w:val="clear" w:color="auto" w:fill="eeece1"/>
          </w:tcPr>
          <w:p w14:paraId="39F79791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ME1</w:t>
            </w:r>
          </w:p>
        </w:tc>
        <w:tc>
          <w:tcPr>
            <w:tcW w:w="0" w:type="auto"/>
            <w:tcBorders/>
            <w:shd w:val="clear" w:color="auto" w:fill="eeece1"/>
          </w:tcPr>
          <w:p w14:paraId="48B4015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ME2</w:t>
            </w:r>
          </w:p>
        </w:tc>
        <w:tc>
          <w:tcPr>
            <w:tcW w:w="0" w:type="auto"/>
            <w:tcBorders/>
            <w:shd w:val="clear" w:color="auto" w:fill="eeece1"/>
          </w:tcPr>
          <w:p w14:paraId="E5622A7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AE1</w:t>
            </w:r>
          </w:p>
        </w:tc>
        <w:tc>
          <w:tcPr>
            <w:tcW w:w="0" w:type="auto"/>
            <w:tcBorders/>
            <w:shd w:val="clear" w:color="auto" w:fill="eeece1"/>
          </w:tcPr>
          <w:p w14:paraId="E1703E2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AE2</w:t>
            </w:r>
          </w:p>
        </w:tc>
        <w:tc>
          <w:tcPr>
            <w:tcW w:w="0" w:type="auto"/>
            <w:tcBorders/>
            <w:shd w:val="clear" w:color="auto" w:fill="eeece1"/>
          </w:tcPr>
          <w:p w14:paraId="F7E7AAF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BE1</w:t>
            </w:r>
          </w:p>
        </w:tc>
        <w:tc>
          <w:tcPr>
            <w:tcW w:w="0" w:type="auto"/>
            <w:tcBorders/>
            <w:shd w:val="clear" w:color="auto" w:fill="eeece1"/>
          </w:tcPr>
          <w:p w14:paraId="198861F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BE2</w:t>
            </w:r>
          </w:p>
        </w:tc>
      </w:tr>
      <w:tr w14:paraId="847540C0">
        <w:tblPrEx/>
        <w:trPr/>
        <w:tc>
          <w:tcPr>
            <w:tcW w:w="1188" w:type="dxa"/>
            <w:tcBorders/>
            <w:shd w:val="clear" w:color="auto" w:fill="eeece1"/>
          </w:tcPr>
          <w:p w14:paraId="03FA782A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SCORE RANGE</w:t>
            </w:r>
          </w:p>
        </w:tc>
        <w:tc>
          <w:tcPr>
            <w:tcW w:w="1080" w:type="dxa"/>
            <w:tcBorders/>
            <w:hideMark/>
          </w:tcPr>
          <w:p w14:paraId="910DE0DE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30 MARKS</w:t>
            </w:r>
          </w:p>
        </w:tc>
        <w:tc>
          <w:tcPr>
            <w:tcW w:w="1170" w:type="dxa"/>
            <w:tcBorders/>
            <w:hideMark/>
          </w:tcPr>
          <w:p w14:paraId="D205BD2F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50 MARKS</w:t>
            </w:r>
          </w:p>
        </w:tc>
        <w:tc>
          <w:tcPr>
            <w:tcW w:w="988" w:type="dxa"/>
            <w:vMerge w:val="restart"/>
            <w:tcBorders/>
          </w:tcPr>
          <w:p w14:paraId="A06C2023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7AA78533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90-100</w:t>
            </w:r>
          </w:p>
        </w:tc>
        <w:tc>
          <w:tcPr>
            <w:tcW w:w="0" w:type="auto"/>
            <w:tcBorders/>
          </w:tcPr>
          <w:p w14:paraId="4BDB250D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75-89</w:t>
            </w:r>
          </w:p>
        </w:tc>
        <w:tc>
          <w:tcPr>
            <w:tcW w:w="0" w:type="auto"/>
            <w:tcBorders/>
          </w:tcPr>
          <w:p w14:paraId="47624082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58-74</w:t>
            </w:r>
          </w:p>
        </w:tc>
        <w:tc>
          <w:tcPr>
            <w:tcW w:w="0" w:type="auto"/>
            <w:tcBorders/>
          </w:tcPr>
          <w:p w14:paraId="5BA50142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41-57</w:t>
            </w:r>
          </w:p>
        </w:tc>
        <w:tc>
          <w:tcPr>
            <w:tcW w:w="0" w:type="auto"/>
            <w:tcBorders/>
          </w:tcPr>
          <w:p w14:paraId="A6A97459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31-40</w:t>
            </w:r>
          </w:p>
        </w:tc>
        <w:tc>
          <w:tcPr>
            <w:tcW w:w="0" w:type="auto"/>
            <w:tcBorders/>
          </w:tcPr>
          <w:p w14:paraId="1859AE97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21-30</w:t>
            </w:r>
          </w:p>
        </w:tc>
        <w:tc>
          <w:tcPr>
            <w:tcW w:w="0" w:type="auto"/>
            <w:tcBorders/>
          </w:tcPr>
          <w:p w14:paraId="FBF6D08F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11-20</w:t>
            </w:r>
          </w:p>
        </w:tc>
        <w:tc>
          <w:tcPr>
            <w:tcW w:w="0" w:type="auto"/>
            <w:tcBorders/>
          </w:tcPr>
          <w:p w14:paraId="904E4A31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1-10</w:t>
            </w:r>
          </w:p>
        </w:tc>
      </w:tr>
      <w:tr w14:paraId="8A466741">
        <w:tblPrEx/>
        <w:trPr/>
        <w:tc>
          <w:tcPr>
            <w:tcW w:w="3438" w:type="dxa"/>
            <w:gridSpan w:val="3"/>
            <w:tcBorders/>
            <w:shd w:val="clear" w:color="auto" w:fill="eeece1"/>
          </w:tcPr>
          <w:p w14:paraId="A8EC3D2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POINTS</w:t>
            </w:r>
          </w:p>
        </w:tc>
        <w:tc>
          <w:tcPr>
            <w:tcW w:w="988" w:type="dxa"/>
            <w:vMerge w:val="continue"/>
            <w:tcBorders/>
          </w:tcPr>
          <w:p w14:paraId="5FA4A77C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5A99F4BF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8 POINTS</w:t>
            </w:r>
          </w:p>
        </w:tc>
        <w:tc>
          <w:tcPr>
            <w:tcW w:w="0" w:type="auto"/>
            <w:tcBorders/>
          </w:tcPr>
          <w:p w14:paraId="E16D793E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 POINTS</w:t>
            </w:r>
          </w:p>
        </w:tc>
        <w:tc>
          <w:tcPr>
            <w:tcW w:w="0" w:type="auto"/>
            <w:tcBorders/>
          </w:tcPr>
          <w:p w14:paraId="958F6301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6 POINTS</w:t>
            </w:r>
          </w:p>
        </w:tc>
        <w:tc>
          <w:tcPr>
            <w:tcW w:w="0" w:type="auto"/>
            <w:tcBorders/>
          </w:tcPr>
          <w:p w14:paraId="92272B86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 POINTS</w:t>
            </w:r>
          </w:p>
        </w:tc>
        <w:tc>
          <w:tcPr>
            <w:tcW w:w="0" w:type="auto"/>
            <w:tcBorders/>
          </w:tcPr>
          <w:p w14:paraId="E0688AAE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 POINTS</w:t>
            </w:r>
          </w:p>
        </w:tc>
        <w:tc>
          <w:tcPr>
            <w:tcW w:w="0" w:type="auto"/>
            <w:tcBorders/>
          </w:tcPr>
          <w:p w14:paraId="59427332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 POINTS</w:t>
            </w:r>
          </w:p>
        </w:tc>
        <w:tc>
          <w:tcPr>
            <w:tcW w:w="0" w:type="auto"/>
            <w:tcBorders/>
          </w:tcPr>
          <w:p w14:paraId="ED86DEF0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 POINTS</w:t>
            </w:r>
          </w:p>
        </w:tc>
        <w:tc>
          <w:tcPr>
            <w:tcW w:w="0" w:type="auto"/>
            <w:tcBorders/>
          </w:tcPr>
          <w:p w14:paraId="B4637279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 POINT</w:t>
            </w:r>
          </w:p>
        </w:tc>
      </w:tr>
      <w:tr w14:paraId="A07342DB">
        <w:tblPrEx/>
        <w:trPr/>
        <w:tc>
          <w:tcPr>
            <w:tcW w:w="1188" w:type="dxa"/>
            <w:tcBorders/>
            <w:shd w:val="clear" w:color="auto" w:fill="eeece1"/>
          </w:tcPr>
          <w:p w14:paraId="A2B048C1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LEARNER’S TOTAL SCORE</w:t>
            </w:r>
          </w:p>
        </w:tc>
        <w:tc>
          <w:tcPr>
            <w:tcW w:w="1080" w:type="dxa"/>
            <w:tcBorders/>
          </w:tcPr>
          <w:p w14:paraId="D515C3D4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</w:p>
        </w:tc>
        <w:tc>
          <w:tcPr>
            <w:tcW w:w="1170" w:type="dxa"/>
            <w:tcBorders/>
          </w:tcPr>
          <w:p w14:paraId="194E4042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988" w:type="dxa"/>
            <w:vMerge w:val="continue"/>
            <w:tcBorders/>
          </w:tcPr>
          <w:p w14:paraId="3928DEF8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993650E9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3164D4AD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2CA345D6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12FBFFC8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90B7978F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B16D59DC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235F5928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19F36CB2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</w:tr>
    </w:tbl>
    <w:p w14:paraId="8EF6A51F">
      <w:pPr>
        <w:pStyle w:val="style0"/>
        <w:spacing w:before="100" w:beforeAutospacing="true" w:after="100" w:afterAutospacing="true" w:lineRule="auto" w:line="240"/>
        <w:jc w:val="center"/>
        <w:outlineLvl w:val="1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SECTION A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: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(30 marks)</w:t>
      </w:r>
    </w:p>
    <w:p w14:paraId="6E24D3E6">
      <w:pPr>
        <w:pStyle w:val="style0"/>
        <w:spacing w:before="100" w:beforeAutospacing="true" w:after="100" w:afterAutospacing="true" w:lineRule="auto" w:line="240"/>
        <w:jc w:val="center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Answer ALL questions in this section.</w:t>
      </w:r>
    </w:p>
    <w:p w14:paraId="55AE5E7C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A local museum curator is organizing an exhibition on Kenyan history. She has collected old newspapers from 1963, a recorded interview with a Mau </w:t>
      </w:r>
      <w:r>
        <w:rPr>
          <w:rFonts w:ascii="Comic Sans MS" w:hAnsi="Comic Sans MS"/>
        </w:rPr>
        <w:t>Mau</w:t>
      </w:r>
      <w:r>
        <w:rPr>
          <w:rFonts w:ascii="Comic Sans MS" w:hAnsi="Comic Sans MS"/>
        </w:rPr>
        <w:t xml:space="preserve"> veteran, and a modern textbook written in 2024.</w:t>
      </w:r>
    </w:p>
    <w:p w14:paraId="8E18CCAB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(a) Identify the </w:t>
      </w:r>
      <w:r>
        <w:rPr>
          <w:rFonts w:ascii="Comic Sans MS" w:hAnsi="Comic Sans MS"/>
          <w:b/>
          <w:bCs/>
        </w:rPr>
        <w:t>Primary Source</w:t>
      </w:r>
      <w:r>
        <w:rPr>
          <w:rFonts w:ascii="Comic Sans MS" w:hAnsi="Comic Sans MS"/>
        </w:rPr>
        <w:t xml:space="preserve"> among the items mentioned. (1 mark) </w:t>
      </w:r>
    </w:p>
    <w:p w14:paraId="4F22F93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</w:t>
      </w:r>
    </w:p>
    <w:p w14:paraId="F46D73A1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(b) Categorize the modern textbook as a source of information. (1 mark) </w:t>
      </w:r>
    </w:p>
    <w:p w14:paraId="AD0AFDF1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</w:t>
      </w:r>
    </w:p>
    <w:p w14:paraId="21E527A5">
      <w:pPr>
        <w:pStyle w:val="style94"/>
        <w:rPr>
          <w:rFonts w:ascii="Comic Sans MS" w:hAnsi="Comic Sans MS"/>
        </w:rPr>
      </w:pPr>
    </w:p>
    <w:p w14:paraId="2944191B">
      <w:pPr>
        <w:pStyle w:val="style94"/>
        <w:rPr>
          <w:rFonts w:ascii="Comic Sans MS" w:hAnsi="Comic Sans MS"/>
        </w:rPr>
      </w:pPr>
    </w:p>
    <w:p w14:paraId="928A151C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(c) State </w:t>
      </w:r>
      <w:r>
        <w:rPr>
          <w:rFonts w:ascii="Comic Sans MS" w:hAnsi="Comic Sans MS"/>
          <w:b/>
          <w:bCs/>
        </w:rPr>
        <w:t>two</w:t>
      </w:r>
      <w:r>
        <w:rPr>
          <w:rFonts w:ascii="Comic Sans MS" w:hAnsi="Comic Sans MS"/>
        </w:rPr>
        <w:t xml:space="preserve"> importance of using oral traditions as a source of history. (2 marks)</w:t>
      </w:r>
    </w:p>
    <w:p w14:paraId="4E3A6E96">
      <w:pPr>
        <w:pStyle w:val="style94"/>
        <w:numPr>
          <w:ilvl w:val="0"/>
          <w:numId w:val="3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16B00A30">
      <w:pPr>
        <w:pStyle w:val="style94"/>
        <w:numPr>
          <w:ilvl w:val="0"/>
          <w:numId w:val="3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5D482395">
      <w:pPr>
        <w:pStyle w:val="style94"/>
        <w:numPr>
          <w:ilvl w:val="0"/>
          <w:numId w:val="2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The map below shows the migration routes of a major linguistic group into Kenya.</w:t>
      </w:r>
    </w:p>
    <w:p w14:paraId="549C6CBC">
      <w:pPr>
        <w:pStyle w:val="style0"/>
        <w:spacing w:before="0" w:after="100" w:afterAutospacing="true" w:lineRule="auto" w:line="360"/>
        <w:jc w:val="left"/>
        <w:outlineLvl w:val="5"/>
        <w:rPr>
          <w:rFonts w:ascii="Arial" w:cs="Arial" w:eastAsia="Times New Roman" w:hAnsi="Arial"/>
          <w:color w:val="000000"/>
          <w:sz w:val="27"/>
          <w:szCs w:val="27"/>
        </w:rPr>
      </w:pPr>
      <w:r>
        <w:rPr>
          <w:rFonts w:ascii="Arial" w:cs="Arial" w:eastAsia="Times New Roman" w:hAnsi="Arial"/>
          <w:noProof/>
          <w:color w:val="000000"/>
          <w:sz w:val="27"/>
          <w:szCs w:val="27"/>
        </w:rPr>
        <w:drawing>
          <wp:inline distL="0" distT="0" distB="0" distR="0">
            <wp:extent cx="1933574" cy="2076449"/>
            <wp:effectExtent l="0" t="0" r="9525" b="0"/>
            <wp:docPr id="1028" name="Picture 2" descr="https://adminpanel.easyelimu.com/storage/2024/04/15/e52758545f8f930257d2f272b5846c8ad17fb3dc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933574" cy="207644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860E7722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(a) Identify the linguistic group whose migration is represented by the arrows. (1 mark) </w:t>
      </w:r>
    </w:p>
    <w:p w14:paraId="417F0228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</w:t>
      </w:r>
    </w:p>
    <w:p w14:paraId="9C389F6C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(b) Give </w:t>
      </w:r>
      <w:r>
        <w:rPr>
          <w:rFonts w:ascii="Comic Sans MS" w:hAnsi="Comic Sans MS"/>
          <w:b/>
          <w:bCs/>
        </w:rPr>
        <w:t>two</w:t>
      </w:r>
      <w:r>
        <w:rPr>
          <w:rFonts w:ascii="Comic Sans MS" w:hAnsi="Comic Sans MS"/>
        </w:rPr>
        <w:t xml:space="preserve"> reasons why this group migrated from their original homeland. (2 marks) </w:t>
      </w:r>
    </w:p>
    <w:p w14:paraId="5AD95B46">
      <w:pPr>
        <w:pStyle w:val="style94"/>
        <w:numPr>
          <w:ilvl w:val="0"/>
          <w:numId w:val="4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F45112EA">
      <w:pPr>
        <w:pStyle w:val="style94"/>
        <w:numPr>
          <w:ilvl w:val="0"/>
          <w:numId w:val="4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E55BF914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(c) Name one sub-group of the High-land </w:t>
      </w:r>
      <w:r>
        <w:rPr>
          <w:rFonts w:ascii="Comic Sans MS" w:hAnsi="Comic Sans MS"/>
        </w:rPr>
        <w:t>Nilotes</w:t>
      </w:r>
      <w:r>
        <w:rPr>
          <w:rFonts w:ascii="Comic Sans MS" w:hAnsi="Comic Sans MS"/>
        </w:rPr>
        <w:t>. (1 mark)</w:t>
      </w:r>
    </w:p>
    <w:p w14:paraId="079E54C7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</w:t>
      </w:r>
    </w:p>
    <w:p w14:paraId="30AD27E4">
      <w:pPr>
        <w:pStyle w:val="style94"/>
        <w:numPr>
          <w:ilvl w:val="0"/>
          <w:numId w:val="2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During the late 19th century, the British used various methods to establish their rule. Study the scenario: </w:t>
      </w:r>
      <w:r>
        <w:rPr>
          <w:rFonts w:ascii="Comic Sans MS" w:hAnsi="Comic Sans MS"/>
          <w:i/>
          <w:iCs/>
        </w:rPr>
        <w:t>A British official signs a document with a local chief promising protection in exchange for land.</w:t>
      </w:r>
    </w:p>
    <w:p w14:paraId="D09B3C7E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(a) Identify the method of colonial establishment described in the scenario. (1 mark) </w:t>
      </w:r>
    </w:p>
    <w:p w14:paraId="FA0F1BB9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</w:t>
      </w:r>
    </w:p>
    <w:p w14:paraId="9F5AC1FD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(b) Name </w:t>
      </w:r>
      <w:r>
        <w:rPr>
          <w:rFonts w:ascii="Comic Sans MS" w:hAnsi="Comic Sans MS"/>
          <w:b/>
          <w:bCs/>
        </w:rPr>
        <w:t>two</w:t>
      </w:r>
      <w:r>
        <w:rPr>
          <w:rFonts w:ascii="Comic Sans MS" w:hAnsi="Comic Sans MS"/>
        </w:rPr>
        <w:t xml:space="preserve"> other methods used by the British to colonize Kenya. (2 marks)</w:t>
      </w:r>
    </w:p>
    <w:p w14:paraId="9C93C346">
      <w:pPr>
        <w:pStyle w:val="style94"/>
        <w:numPr>
          <w:ilvl w:val="0"/>
          <w:numId w:val="5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C2456903">
      <w:pPr>
        <w:pStyle w:val="style94"/>
        <w:numPr>
          <w:ilvl w:val="0"/>
          <w:numId w:val="5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3FF15804">
      <w:pPr>
        <w:pStyle w:val="style94"/>
        <w:numPr>
          <w:ilvl w:val="0"/>
          <w:numId w:val="2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The government of Kenya recently commissioned a new Standard Gauge Railway (SGR) and a public hospital.</w:t>
      </w:r>
    </w:p>
    <w:p w14:paraId="11602C5F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(a) Categorize these two items as a type of resource. </w:t>
      </w:r>
      <w:r>
        <w:rPr>
          <w:rFonts w:ascii="Comic Sans MS" w:hAnsi="Comic Sans MS"/>
        </w:rPr>
        <w:t xml:space="preserve">_____________________ </w:t>
      </w:r>
      <w:r>
        <w:rPr>
          <w:rFonts w:ascii="Comic Sans MS" w:hAnsi="Comic Sans MS"/>
        </w:rPr>
        <w:t xml:space="preserve">(1 mark) </w:t>
      </w:r>
    </w:p>
    <w:p w14:paraId="0745A4CE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(b) List </w:t>
      </w:r>
      <w:r>
        <w:rPr>
          <w:rFonts w:ascii="Comic Sans MS" w:hAnsi="Comic Sans MS"/>
          <w:b/>
          <w:bCs/>
        </w:rPr>
        <w:t>two</w:t>
      </w:r>
      <w:r>
        <w:rPr>
          <w:rFonts w:ascii="Comic Sans MS" w:hAnsi="Comic Sans MS"/>
        </w:rPr>
        <w:t xml:space="preserve"> ways a patriotic citizen can ensure the sustainable utilization of these resources. (2 marks)</w:t>
      </w:r>
    </w:p>
    <w:p w14:paraId="EC7926F1">
      <w:pPr>
        <w:pStyle w:val="style94"/>
        <w:numPr>
          <w:ilvl w:val="0"/>
          <w:numId w:val="6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EB5B8846">
      <w:pPr>
        <w:pStyle w:val="style94"/>
        <w:numPr>
          <w:ilvl w:val="0"/>
          <w:numId w:val="6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E1EF689B">
      <w:pPr>
        <w:pStyle w:val="style94"/>
        <w:numPr>
          <w:ilvl w:val="0"/>
          <w:numId w:val="2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Humanity has moved from the 1st Industrial Revolution to the 4th Industrial (Digital) Revolution.</w:t>
      </w:r>
    </w:p>
    <w:p w14:paraId="680747F9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(a) Name the primary source of energy during the </w:t>
      </w:r>
      <w:r>
        <w:rPr>
          <w:rFonts w:ascii="Comic Sans MS" w:hAnsi="Comic Sans MS"/>
          <w:b/>
          <w:bCs/>
        </w:rPr>
        <w:t>1st Industrial Revolution</w:t>
      </w:r>
      <w:r>
        <w:rPr>
          <w:rFonts w:ascii="Comic Sans MS" w:hAnsi="Comic Sans MS"/>
        </w:rPr>
        <w:t xml:space="preserve">. (1 mark) </w:t>
      </w:r>
    </w:p>
    <w:p w14:paraId="2BB6AE0F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</w:t>
      </w:r>
    </w:p>
    <w:p w14:paraId="4C6D659D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(b) Identify </w:t>
      </w:r>
      <w:r>
        <w:rPr>
          <w:rFonts w:ascii="Comic Sans MS" w:hAnsi="Comic Sans MS"/>
          <w:b/>
          <w:bCs/>
        </w:rPr>
        <w:t>one</w:t>
      </w:r>
      <w:r>
        <w:rPr>
          <w:rFonts w:ascii="Comic Sans MS" w:hAnsi="Comic Sans MS"/>
        </w:rPr>
        <w:t xml:space="preserve"> technological advancement</w:t>
      </w:r>
      <w:r>
        <w:rPr>
          <w:rFonts w:ascii="Comic Sans MS" w:hAnsi="Comic Sans MS"/>
        </w:rPr>
        <w:t xml:space="preserve"> that characterizes the </w:t>
      </w:r>
      <w:r>
        <w:rPr>
          <w:rFonts w:ascii="Comic Sans MS" w:hAnsi="Comic Sans MS"/>
          <w:b/>
          <w:bCs/>
        </w:rPr>
        <w:t>4th Industrial Revolution</w:t>
      </w:r>
      <w:r>
        <w:rPr>
          <w:rFonts w:ascii="Comic Sans MS" w:hAnsi="Comic Sans MS"/>
        </w:rPr>
        <w:t>. (1 mark)</w:t>
      </w:r>
    </w:p>
    <w:p w14:paraId="5F9C2C5D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</w:t>
      </w:r>
    </w:p>
    <w:p w14:paraId="9D9C1A36">
      <w:pPr>
        <w:pStyle w:val="style94"/>
        <w:numPr>
          <w:ilvl w:val="0"/>
          <w:numId w:val="2"/>
        </w:numPr>
        <w:spacing w:lineRule="auto" w:line="360"/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4" behindDoc="false" locked="false" layoutInCell="true" allowOverlap="true">
            <wp:simplePos x="0" y="0"/>
            <wp:positionH relativeFrom="column">
              <wp:posOffset>304800</wp:posOffset>
            </wp:positionH>
            <wp:positionV relativeFrom="paragraph">
              <wp:posOffset>576580</wp:posOffset>
            </wp:positionV>
            <wp:extent cx="2124075" cy="1257299"/>
            <wp:effectExtent l="0" t="0" r="9525" b="0"/>
            <wp:wrapNone/>
            <wp:docPr id="1029" name="Picture 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24075" cy="1257299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The image below shows the emblem of an organization that Kenya joined after independence to maintain ties with its former colonizer.</w:t>
      </w:r>
    </w:p>
    <w:p w14:paraId="B529416D">
      <w:pPr>
        <w:pStyle w:val="style94"/>
        <w:spacing w:lineRule="auto" w:line="360"/>
        <w:rPr>
          <w:rFonts w:ascii="Comic Sans MS" w:hAnsi="Comic Sans MS"/>
        </w:rPr>
      </w:pPr>
    </w:p>
    <w:p w14:paraId="D80214A9">
      <w:pPr>
        <w:pStyle w:val="style94"/>
        <w:spacing w:lineRule="auto" w:line="360"/>
        <w:rPr>
          <w:rFonts w:ascii="Comic Sans MS" w:hAnsi="Comic Sans MS"/>
        </w:rPr>
      </w:pPr>
    </w:p>
    <w:p w14:paraId="FFC01461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(a) Name the international organization represented by the logo. (1 mark) </w:t>
      </w:r>
    </w:p>
    <w:p w14:paraId="4F89D98C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</w:t>
      </w:r>
    </w:p>
    <w:p w14:paraId="C89A06A3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(b) State </w:t>
      </w:r>
      <w:r>
        <w:rPr>
          <w:rFonts w:ascii="Comic Sans MS" w:hAnsi="Comic Sans MS"/>
          <w:b/>
          <w:bCs/>
        </w:rPr>
        <w:t>one</w:t>
      </w:r>
      <w:r>
        <w:rPr>
          <w:rFonts w:ascii="Comic Sans MS" w:hAnsi="Comic Sans MS"/>
        </w:rPr>
        <w:t xml:space="preserve"> challenge facing members of this organization. (1 mark)</w:t>
      </w:r>
    </w:p>
    <w:p w14:paraId="1D601DAD">
      <w:pPr>
        <w:pStyle w:val="style94"/>
        <w:spacing w:lineRule="auto" w:line="36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_____________________________________________________________________________________________________________________________________________________</w:t>
      </w:r>
    </w:p>
    <w:p w14:paraId="8DDE6F3F">
      <w:pPr>
        <w:pStyle w:val="style94"/>
        <w:numPr>
          <w:ilvl w:val="0"/>
          <w:numId w:val="2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Match the following factors to their correct category regarding National Integration: </w:t>
      </w:r>
      <w:r>
        <w:rPr>
          <w:rFonts w:ascii="Comic Sans MS" w:hAnsi="Comic Sans MS"/>
          <w:i/>
          <w:iCs/>
        </w:rPr>
        <w:t>(Categories: Political, Social, Economic)</w:t>
      </w:r>
    </w:p>
    <w:p w14:paraId="56A3DDAA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(a) Equal distribution of national wealth: ___________ (1 mark) </w:t>
      </w:r>
    </w:p>
    <w:p w14:paraId="E493650D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(b) Use of Kiswahili as a national language: ___________ (1 mark) </w:t>
      </w:r>
    </w:p>
    <w:p w14:paraId="507B75A5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(c) The Presidency as a symbol of unity: ___________ (1 mark)</w:t>
      </w:r>
    </w:p>
    <w:p w14:paraId="B046C0CB">
      <w:pPr>
        <w:pStyle w:val="style94"/>
        <w:numPr>
          <w:ilvl w:val="0"/>
          <w:numId w:val="2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In West Africa, the </w:t>
      </w:r>
      <w:r>
        <w:rPr>
          <w:rFonts w:ascii="Comic Sans MS" w:hAnsi="Comic Sans MS"/>
        </w:rPr>
        <w:t>Nyamwezi</w:t>
      </w:r>
      <w:r>
        <w:rPr>
          <w:rFonts w:ascii="Comic Sans MS" w:hAnsi="Comic Sans MS"/>
        </w:rPr>
        <w:t xml:space="preserve"> and Buganda were powerful kingdoms.</w:t>
      </w:r>
    </w:p>
    <w:p w14:paraId="5CBE4B20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(a) Identify </w:t>
      </w:r>
      <w:r>
        <w:rPr>
          <w:rFonts w:ascii="Comic Sans MS" w:hAnsi="Comic Sans MS"/>
          <w:b/>
          <w:bCs/>
        </w:rPr>
        <w:t>two</w:t>
      </w:r>
      <w:r>
        <w:rPr>
          <w:rFonts w:ascii="Comic Sans MS" w:hAnsi="Comic Sans MS"/>
        </w:rPr>
        <w:t xml:space="preserve"> factors that led to the growth of the Buganda Kingdom. (2 marks)</w:t>
      </w:r>
    </w:p>
    <w:p w14:paraId="EC498D39">
      <w:pPr>
        <w:pStyle w:val="style94"/>
        <w:numPr>
          <w:ilvl w:val="0"/>
          <w:numId w:val="7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F5F5BAB7">
      <w:pPr>
        <w:pStyle w:val="style94"/>
        <w:numPr>
          <w:ilvl w:val="0"/>
          <w:numId w:val="7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1ED81831">
      <w:pPr>
        <w:pStyle w:val="style3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SECTION B: (50 MARKS)</w:t>
      </w:r>
    </w:p>
    <w:p w14:paraId="06AE3C55">
      <w:pPr>
        <w:pStyle w:val="style94"/>
        <w:rPr>
          <w:rFonts w:ascii="Comic Sans MS" w:hAnsi="Comic Sans MS"/>
        </w:rPr>
      </w:pPr>
      <w:r>
        <w:rPr>
          <w:rFonts w:ascii="Comic Sans MS" w:hAnsi="Comic Sans MS"/>
          <w:i/>
          <w:iCs/>
        </w:rPr>
        <w:t>Answer all questions in this section.</w:t>
      </w:r>
    </w:p>
    <w:p w14:paraId="F8CC948C">
      <w:pPr>
        <w:pStyle w:val="style94"/>
        <w:numPr>
          <w:ilvl w:val="0"/>
          <w:numId w:val="2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Raymond a Grade 10 learner read the following information during a search in the internet</w:t>
      </w:r>
      <w:r>
        <w:rPr>
          <w:rFonts w:ascii="Comic Sans MS" w:hAnsi="Comic Sans MS"/>
        </w:rPr>
        <w:t xml:space="preserve">: </w:t>
      </w:r>
    </w:p>
    <w:p w14:paraId="E88AA504">
      <w:pPr>
        <w:pStyle w:val="style94"/>
        <w:spacing w:lineRule="auto" w:line="360"/>
        <w:ind w:left="360"/>
        <w:rPr>
          <w:rFonts w:ascii="Comic Sans MS" w:hAnsi="Comic Sans MS"/>
        </w:rPr>
      </w:pPr>
      <w:r>
        <w:rPr>
          <w:rFonts w:ascii="Comic Sans MS" w:hAnsi="Comic Sans MS"/>
          <w:i/>
          <w:iCs/>
        </w:rPr>
        <w:t>In 1773, a group of colonists in Boston dumped tea into the sea to protest against "Taxation without Representation."</w:t>
      </w:r>
    </w:p>
    <w:p w14:paraId="8E1F31C4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(a) Identify the event described in the scenario above. (1 mark) </w:t>
      </w:r>
      <w:r>
        <w:rPr>
          <w:rFonts w:ascii="Comic Sans MS" w:hAnsi="Comic Sans MS"/>
        </w:rPr>
        <w:t>________________________________________________</w:t>
      </w:r>
    </w:p>
    <w:p w14:paraId="77C6A2C1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(b) Name </w:t>
      </w:r>
      <w:r>
        <w:rPr>
          <w:rFonts w:ascii="Comic Sans MS" w:hAnsi="Comic Sans MS"/>
          <w:b/>
          <w:bCs/>
        </w:rPr>
        <w:t>three</w:t>
      </w:r>
      <w:r>
        <w:rPr>
          <w:rFonts w:ascii="Comic Sans MS" w:hAnsi="Comic Sans MS"/>
        </w:rPr>
        <w:t xml:space="preserve"> key leaders who contributed to the American Revolution. (3 marks) </w:t>
      </w:r>
    </w:p>
    <w:p w14:paraId="87D4E8B9">
      <w:pPr>
        <w:pStyle w:val="style94"/>
        <w:numPr>
          <w:ilvl w:val="0"/>
          <w:numId w:val="8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D461F505">
      <w:pPr>
        <w:pStyle w:val="style94"/>
        <w:numPr>
          <w:ilvl w:val="0"/>
          <w:numId w:val="8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DCD299A4">
      <w:pPr>
        <w:pStyle w:val="style94"/>
        <w:numPr>
          <w:ilvl w:val="0"/>
          <w:numId w:val="8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2D05D64F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(c) Explain </w:t>
      </w:r>
      <w:r>
        <w:rPr>
          <w:rFonts w:ascii="Comic Sans MS" w:hAnsi="Comic Sans MS"/>
          <w:b/>
          <w:bCs/>
        </w:rPr>
        <w:t>four</w:t>
      </w:r>
      <w:r>
        <w:rPr>
          <w:rFonts w:ascii="Comic Sans MS" w:hAnsi="Comic Sans MS"/>
        </w:rPr>
        <w:t xml:space="preserve"> impacts of the American Revolution on global struggles for independence. (8 marks)</w:t>
      </w:r>
    </w:p>
    <w:p w14:paraId="D09D5B80">
      <w:pPr>
        <w:pStyle w:val="style94"/>
        <w:numPr>
          <w:ilvl w:val="0"/>
          <w:numId w:val="9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827D817F">
      <w:pPr>
        <w:pStyle w:val="style94"/>
        <w:numPr>
          <w:ilvl w:val="0"/>
          <w:numId w:val="9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94D9232E">
      <w:pPr>
        <w:pStyle w:val="style94"/>
        <w:numPr>
          <w:ilvl w:val="0"/>
          <w:numId w:val="9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0ADC219B">
      <w:pPr>
        <w:pStyle w:val="style94"/>
        <w:numPr>
          <w:ilvl w:val="0"/>
          <w:numId w:val="9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E404707B">
      <w:pPr>
        <w:pStyle w:val="style94"/>
        <w:numPr>
          <w:ilvl w:val="0"/>
          <w:numId w:val="2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A young girl is promised a job as a waitress in a foreign country, but upon arrival, her passport is confiscated, and she is forced to work without pay.</w:t>
      </w:r>
    </w:p>
    <w:p w14:paraId="18CAE040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(a) Identify the form of modern slavery described in the scenario. (2 marks) </w:t>
      </w:r>
    </w:p>
    <w:p w14:paraId="789EEAEA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</w:t>
      </w:r>
    </w:p>
    <w:p w14:paraId="265088E9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(b) State </w:t>
      </w:r>
      <w:r>
        <w:rPr>
          <w:rFonts w:ascii="Comic Sans MS" w:hAnsi="Comic Sans MS"/>
          <w:b/>
          <w:bCs/>
        </w:rPr>
        <w:t>two</w:t>
      </w:r>
      <w:r>
        <w:rPr>
          <w:rFonts w:ascii="Comic Sans MS" w:hAnsi="Comic Sans MS"/>
        </w:rPr>
        <w:t xml:space="preserve"> factors that contribute to the persistence of modern slavery today. (2 marks) </w:t>
      </w:r>
    </w:p>
    <w:p w14:paraId="F7A185CC">
      <w:pPr>
        <w:pStyle w:val="style94"/>
        <w:numPr>
          <w:ilvl w:val="0"/>
          <w:numId w:val="10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5CA9D602">
      <w:pPr>
        <w:pStyle w:val="style94"/>
        <w:numPr>
          <w:ilvl w:val="0"/>
          <w:numId w:val="10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DDBC5462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(c) Describe the roles of </w:t>
      </w:r>
      <w:r>
        <w:rPr>
          <w:rFonts w:ascii="Comic Sans MS" w:hAnsi="Comic Sans MS"/>
          <w:b/>
          <w:bCs/>
        </w:rPr>
        <w:t>the following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historical abolitionists </w:t>
      </w:r>
      <w:r>
        <w:rPr>
          <w:rFonts w:ascii="Comic Sans MS" w:hAnsi="Comic Sans MS"/>
        </w:rPr>
        <w:t>and how their legacy helps modern movements. (8 marks)</w:t>
      </w:r>
    </w:p>
    <w:p w14:paraId="9EF932D5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  <w:b/>
        </w:rPr>
        <w:t>William Wilberforce</w:t>
      </w:r>
    </w:p>
    <w:p w14:paraId="F152B2EF">
      <w:pPr>
        <w:pStyle w:val="style94"/>
        <w:numPr>
          <w:ilvl w:val="0"/>
          <w:numId w:val="11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AAE3F869">
      <w:pPr>
        <w:pStyle w:val="style94"/>
        <w:numPr>
          <w:ilvl w:val="0"/>
          <w:numId w:val="11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61739A56">
      <w:pPr>
        <w:pStyle w:val="style94"/>
        <w:spacing w:lineRule="auto" w:line="36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Harriet Tubman</w:t>
      </w:r>
    </w:p>
    <w:p w14:paraId="C900FC89">
      <w:pPr>
        <w:pStyle w:val="style94"/>
        <w:numPr>
          <w:ilvl w:val="0"/>
          <w:numId w:val="12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04001BA5">
      <w:pPr>
        <w:pStyle w:val="style94"/>
        <w:numPr>
          <w:ilvl w:val="0"/>
          <w:numId w:val="12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090C05FF">
      <w:pPr>
        <w:pStyle w:val="style94"/>
        <w:spacing w:lineRule="auto" w:line="36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Legacy </w:t>
      </w:r>
    </w:p>
    <w:p w14:paraId="26D09BA4">
      <w:pPr>
        <w:pStyle w:val="style94"/>
        <w:numPr>
          <w:ilvl w:val="0"/>
          <w:numId w:val="13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B8BE4513">
      <w:pPr>
        <w:pStyle w:val="style94"/>
        <w:numPr>
          <w:ilvl w:val="0"/>
          <w:numId w:val="13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E8117B8E">
      <w:pPr>
        <w:pStyle w:val="style94"/>
        <w:numPr>
          <w:ilvl w:val="0"/>
          <w:numId w:val="2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Kenya underwent a major transition in 2010.</w:t>
      </w:r>
    </w:p>
    <w:p w14:paraId="3038D239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(a) What was the significance of the </w:t>
      </w:r>
      <w:r>
        <w:rPr>
          <w:rFonts w:ascii="Comic Sans MS" w:hAnsi="Comic Sans MS"/>
          <w:b/>
          <w:bCs/>
        </w:rPr>
        <w:t>Repeal of Section 2A</w:t>
      </w:r>
      <w:r>
        <w:rPr>
          <w:rFonts w:ascii="Comic Sans MS" w:hAnsi="Comic Sans MS"/>
        </w:rPr>
        <w:t xml:space="preserve"> in 1991? (2 marks) </w:t>
      </w:r>
    </w:p>
    <w:p w14:paraId="D7F5F56A">
      <w:pPr>
        <w:pStyle w:val="style94"/>
        <w:numPr>
          <w:ilvl w:val="0"/>
          <w:numId w:val="14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C3AF246A">
      <w:pPr>
        <w:pStyle w:val="style94"/>
        <w:numPr>
          <w:ilvl w:val="0"/>
          <w:numId w:val="14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F0C4C4D4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(b) Identify </w:t>
      </w:r>
      <w:r>
        <w:rPr>
          <w:rFonts w:ascii="Comic Sans MS" w:hAnsi="Comic Sans MS"/>
          <w:b/>
          <w:bCs/>
        </w:rPr>
        <w:t>three</w:t>
      </w:r>
      <w:r>
        <w:rPr>
          <w:rFonts w:ascii="Comic Sans MS" w:hAnsi="Comic Sans MS"/>
        </w:rPr>
        <w:t xml:space="preserve"> functions of the Independent Electoral and Boundaries Commission (IEBC) in Kenya. (3 marks) </w:t>
      </w:r>
    </w:p>
    <w:p w14:paraId="591FB97D">
      <w:pPr>
        <w:pStyle w:val="style94"/>
        <w:numPr>
          <w:ilvl w:val="0"/>
          <w:numId w:val="15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9144CE80">
      <w:pPr>
        <w:pStyle w:val="style94"/>
        <w:numPr>
          <w:ilvl w:val="0"/>
          <w:numId w:val="15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DE56EA5D">
      <w:pPr>
        <w:pStyle w:val="style94"/>
        <w:numPr>
          <w:ilvl w:val="0"/>
          <w:numId w:val="15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4798E2D1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(c) Discuss </w:t>
      </w:r>
      <w:r>
        <w:rPr>
          <w:rFonts w:ascii="Comic Sans MS" w:hAnsi="Comic Sans MS"/>
          <w:b/>
          <w:bCs/>
        </w:rPr>
        <w:t>four</w:t>
      </w:r>
      <w:r>
        <w:rPr>
          <w:rFonts w:ascii="Comic Sans MS" w:hAnsi="Comic Sans MS"/>
        </w:rPr>
        <w:t xml:space="preserve"> challenges that have faced Kenya's political system since independence. (8 marks)</w:t>
      </w:r>
    </w:p>
    <w:p w14:paraId="2411A67E">
      <w:pPr>
        <w:pStyle w:val="style94"/>
        <w:numPr>
          <w:ilvl w:val="0"/>
          <w:numId w:val="16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A817720D">
      <w:pPr>
        <w:pStyle w:val="style94"/>
        <w:numPr>
          <w:ilvl w:val="0"/>
          <w:numId w:val="16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5A0CA8FD">
      <w:pPr>
        <w:pStyle w:val="style94"/>
        <w:numPr>
          <w:ilvl w:val="0"/>
          <w:numId w:val="16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1CDF661C">
      <w:pPr>
        <w:pStyle w:val="style94"/>
        <w:numPr>
          <w:ilvl w:val="0"/>
          <w:numId w:val="16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268DEB2D">
      <w:pPr>
        <w:pStyle w:val="style94"/>
        <w:numPr>
          <w:ilvl w:val="0"/>
          <w:numId w:val="2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The transition from the Stone Age to the Neolithic Revolution changed human history forever.</w:t>
      </w:r>
    </w:p>
    <w:p w14:paraId="37B936A1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(a) Explain </w:t>
      </w:r>
      <w:r>
        <w:rPr>
          <w:rFonts w:ascii="Comic Sans MS" w:hAnsi="Comic Sans MS"/>
          <w:b/>
          <w:bCs/>
        </w:rPr>
        <w:t>three</w:t>
      </w:r>
      <w:r>
        <w:rPr>
          <w:rFonts w:ascii="Comic Sans MS" w:hAnsi="Comic Sans MS"/>
        </w:rPr>
        <w:t xml:space="preserve"> factors that led to the transition from a migratory to a sedentary (settled) lifestyle. (3 marks) </w:t>
      </w:r>
    </w:p>
    <w:p w14:paraId="E9F5380E">
      <w:pPr>
        <w:pStyle w:val="style94"/>
        <w:numPr>
          <w:ilvl w:val="0"/>
          <w:numId w:val="17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954E78ED">
      <w:pPr>
        <w:pStyle w:val="style94"/>
        <w:numPr>
          <w:ilvl w:val="0"/>
          <w:numId w:val="17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56F3D739">
      <w:pPr>
        <w:pStyle w:val="style94"/>
        <w:numPr>
          <w:ilvl w:val="0"/>
          <w:numId w:val="17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01DB7D73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(b) List </w:t>
      </w:r>
      <w:r>
        <w:rPr>
          <w:rFonts w:ascii="Comic Sans MS" w:hAnsi="Comic Sans MS"/>
          <w:b/>
          <w:bCs/>
        </w:rPr>
        <w:t>two</w:t>
      </w:r>
      <w:r>
        <w:rPr>
          <w:rFonts w:ascii="Comic Sans MS" w:hAnsi="Comic Sans MS"/>
        </w:rPr>
        <w:t xml:space="preserve"> effects of the Neolithic Revolution on modern society. (2 marks) </w:t>
      </w:r>
    </w:p>
    <w:p w14:paraId="EF3539BC">
      <w:pPr>
        <w:pStyle w:val="style94"/>
        <w:numPr>
          <w:ilvl w:val="0"/>
          <w:numId w:val="18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63260146">
      <w:pPr>
        <w:pStyle w:val="style94"/>
        <w:numPr>
          <w:ilvl w:val="0"/>
          <w:numId w:val="18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4AB490DC">
      <w:pPr>
        <w:pStyle w:val="style94"/>
        <w:spacing w:lineRule="auto" w:line="360"/>
        <w:rPr>
          <w:rFonts w:ascii="Comic Sans MS" w:hAnsi="Comic Sans MS"/>
        </w:rPr>
      </w:pPr>
    </w:p>
    <w:p w14:paraId="33059DC5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(c) Analyze </w:t>
      </w:r>
      <w:r>
        <w:rPr>
          <w:rFonts w:ascii="Comic Sans MS" w:hAnsi="Comic Sans MS"/>
          <w:b/>
          <w:bCs/>
        </w:rPr>
        <w:t>four</w:t>
      </w:r>
      <w:r>
        <w:rPr>
          <w:rFonts w:ascii="Comic Sans MS" w:hAnsi="Comic Sans MS"/>
        </w:rPr>
        <w:t xml:space="preserve"> social and economic effects of World War II on the African continent. (8 marks)</w:t>
      </w:r>
    </w:p>
    <w:p w14:paraId="6D7DD8E0">
      <w:pPr>
        <w:pStyle w:val="style94"/>
        <w:numPr>
          <w:ilvl w:val="0"/>
          <w:numId w:val="19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767ADB05">
      <w:pPr>
        <w:pStyle w:val="style94"/>
        <w:numPr>
          <w:ilvl w:val="0"/>
          <w:numId w:val="19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C42625B3">
      <w:pPr>
        <w:pStyle w:val="style94"/>
        <w:numPr>
          <w:ilvl w:val="0"/>
          <w:numId w:val="19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A880DEE0">
      <w:pPr>
        <w:pStyle w:val="style94"/>
        <w:numPr>
          <w:ilvl w:val="0"/>
          <w:numId w:val="19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___________________________________________________________________.</w:t>
      </w:r>
    </w:p>
    <w:p w14:paraId="1A1975D7">
      <w:pPr>
        <w:pStyle w:val="style0"/>
        <w:rPr>
          <w:rFonts w:ascii="Comic Sans MS" w:hAnsi="Comic Sans MS"/>
          <w:sz w:val="24"/>
          <w:szCs w:val="24"/>
        </w:rPr>
      </w:pPr>
    </w:p>
    <w:p w14:paraId="9725C722">
      <w:pPr>
        <w:pStyle w:val="style0"/>
        <w:rPr>
          <w:rFonts w:ascii="Comic Sans MS" w:hAnsi="Comic Sans MS"/>
          <w:sz w:val="24"/>
          <w:szCs w:val="24"/>
        </w:rPr>
      </w:pPr>
    </w:p>
    <w:p w14:paraId="97D834DD">
      <w:pPr>
        <w:pStyle w:val="style0"/>
        <w:rPr>
          <w:rFonts w:ascii="Comic Sans MS" w:hAnsi="Comic Sans MS"/>
          <w:sz w:val="24"/>
          <w:szCs w:val="24"/>
        </w:rPr>
      </w:pPr>
    </w:p>
    <w:p w14:paraId="C0033A7B">
      <w:pPr>
        <w:pStyle w:val="style0"/>
        <w:rPr>
          <w:rFonts w:ascii="Comic Sans MS" w:hAnsi="Comic Sans MS"/>
          <w:sz w:val="24"/>
          <w:szCs w:val="24"/>
        </w:rPr>
      </w:pPr>
    </w:p>
    <w:p w14:paraId="D21B6589">
      <w:pPr>
        <w:pStyle w:val="style0"/>
        <w:rPr>
          <w:rFonts w:ascii="Comic Sans MS" w:hAnsi="Comic Sans MS"/>
          <w:sz w:val="24"/>
          <w:szCs w:val="24"/>
        </w:rPr>
      </w:pPr>
    </w:p>
    <w:p w14:paraId="8F5D9996">
      <w:pPr>
        <w:pStyle w:val="style0"/>
        <w:rPr>
          <w:rFonts w:ascii="Comic Sans MS" w:hAnsi="Comic Sans MS"/>
          <w:sz w:val="24"/>
          <w:szCs w:val="24"/>
        </w:rPr>
      </w:pPr>
    </w:p>
    <w:p w14:paraId="DDA7D2DD">
      <w:pPr>
        <w:pStyle w:val="style0"/>
        <w:rPr>
          <w:rFonts w:ascii="Comic Sans MS" w:hAnsi="Comic Sans MS"/>
          <w:sz w:val="24"/>
          <w:szCs w:val="24"/>
        </w:rPr>
      </w:pPr>
    </w:p>
    <w:p w14:paraId="9781CBBD">
      <w:pPr>
        <w:pStyle w:val="style0"/>
        <w:rPr>
          <w:rFonts w:ascii="Comic Sans MS" w:hAnsi="Comic Sans MS"/>
          <w:sz w:val="24"/>
          <w:szCs w:val="24"/>
        </w:rPr>
      </w:pPr>
    </w:p>
    <w:p w14:paraId="95C4DD49">
      <w:pPr>
        <w:pStyle w:val="style0"/>
        <w:rPr>
          <w:rFonts w:ascii="Comic Sans MS" w:hAnsi="Comic Sans MS"/>
          <w:sz w:val="24"/>
          <w:szCs w:val="24"/>
        </w:rPr>
      </w:pPr>
    </w:p>
    <w:p w14:paraId="8C429618">
      <w:pPr>
        <w:pStyle w:val="style0"/>
        <w:rPr>
          <w:rFonts w:ascii="Comic Sans MS" w:hAnsi="Comic Sans MS"/>
          <w:sz w:val="24"/>
          <w:szCs w:val="24"/>
        </w:rPr>
      </w:pPr>
    </w:p>
    <w:p w14:paraId="827985CE">
      <w:pPr>
        <w:pStyle w:val="style0"/>
        <w:rPr>
          <w:rFonts w:ascii="Comic Sans MS" w:hAnsi="Comic Sans MS"/>
          <w:sz w:val="24"/>
          <w:szCs w:val="24"/>
        </w:rPr>
      </w:pPr>
    </w:p>
    <w:p w14:paraId="A826CE34">
      <w:pPr>
        <w:pStyle w:val="style0"/>
        <w:rPr>
          <w:rFonts w:ascii="Comic Sans MS" w:hAnsi="Comic Sans MS"/>
          <w:sz w:val="24"/>
          <w:szCs w:val="24"/>
        </w:rPr>
      </w:pPr>
    </w:p>
    <w:p w14:paraId="BB3F6284">
      <w:pPr>
        <w:pStyle w:val="style0"/>
        <w:rPr>
          <w:rFonts w:ascii="Comic Sans MS" w:hAnsi="Comic Sans MS"/>
          <w:sz w:val="24"/>
          <w:szCs w:val="24"/>
        </w:rPr>
      </w:pPr>
    </w:p>
    <w:p w14:paraId="16E53B32">
      <w:pPr>
        <w:pStyle w:val="style0"/>
        <w:rPr>
          <w:rFonts w:ascii="Comic Sans MS" w:hAnsi="Comic Sans MS"/>
          <w:sz w:val="24"/>
          <w:szCs w:val="24"/>
        </w:rPr>
      </w:pPr>
    </w:p>
    <w:p w14:paraId="D41BD279">
      <w:pPr>
        <w:pStyle w:val="style0"/>
        <w:rPr>
          <w:rFonts w:ascii="Comic Sans MS" w:hAnsi="Comic Sans MS"/>
          <w:sz w:val="24"/>
          <w:szCs w:val="24"/>
        </w:rPr>
      </w:pPr>
    </w:p>
    <w:p w14:paraId="697C3D40">
      <w:pPr>
        <w:pStyle w:val="style0"/>
        <w:rPr>
          <w:rFonts w:ascii="Comic Sans MS" w:hAnsi="Comic Sans MS"/>
          <w:sz w:val="24"/>
          <w:szCs w:val="24"/>
        </w:rPr>
      </w:pPr>
    </w:p>
    <w:p w14:paraId="9E59585A">
      <w:pPr>
        <w:pStyle w:val="style0"/>
        <w:rPr>
          <w:rFonts w:ascii="Comic Sans MS" w:hAnsi="Comic Sans MS"/>
          <w:sz w:val="24"/>
          <w:szCs w:val="24"/>
        </w:rPr>
      </w:pPr>
    </w:p>
    <w:p w14:paraId="9ADE9920">
      <w:pPr>
        <w:pStyle w:val="style0"/>
        <w:rPr>
          <w:rFonts w:ascii="Comic Sans MS" w:hAnsi="Comic Sans MS"/>
          <w:sz w:val="24"/>
          <w:szCs w:val="24"/>
        </w:rPr>
      </w:pPr>
    </w:p>
    <w:p w14:paraId="727C7600">
      <w:pPr>
        <w:pStyle w:val="style0"/>
        <w:rPr>
          <w:rFonts w:ascii="Comic Sans MS" w:hAnsi="Comic Sans MS"/>
          <w:sz w:val="24"/>
          <w:szCs w:val="24"/>
        </w:rPr>
      </w:pPr>
    </w:p>
    <w:p w14:paraId="1C00F56C">
      <w:pPr>
        <w:pStyle w:val="style0"/>
        <w:rPr>
          <w:rFonts w:ascii="Comic Sans MS" w:hAnsi="Comic Sans MS"/>
          <w:sz w:val="24"/>
          <w:szCs w:val="24"/>
        </w:rPr>
      </w:pPr>
    </w:p>
    <w:p w14:paraId="46EF3A78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HISTORY AND CITIZENSHIP EXAMINATION: MARKING SCHEME</w:t>
      </w:r>
    </w:p>
    <w:p w14:paraId="8D56A976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SECTION A: (30 MARKS)</w:t>
      </w:r>
    </w:p>
    <w:p w14:paraId="C543464A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1: Sources of Information</w:t>
      </w:r>
    </w:p>
    <w:p w14:paraId="A5A06C57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Primary Source: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old newspapers (1963) OR the recorded interview with the Mau </w:t>
      </w:r>
      <w:r>
        <w:rPr>
          <w:rFonts w:ascii="Comic Sans MS" w:cs="Times New Roman" w:eastAsia="Times New Roman" w:hAnsi="Comic Sans MS"/>
          <w:sz w:val="24"/>
          <w:szCs w:val="24"/>
        </w:rPr>
        <w:t>Mau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veteran. (1 mark)</w:t>
      </w:r>
    </w:p>
    <w:p w14:paraId="11E5F71A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Category: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Tertiary Source (it compiles information from primary and secondary sources). (1 mark)</w:t>
      </w:r>
    </w:p>
    <w:p w14:paraId="31425C5E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Importance of Oral Traditions:</w:t>
      </w:r>
    </w:p>
    <w:p w14:paraId="FEE05C8A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It helps integrate the history of non-literate societies.</w:t>
      </w:r>
    </w:p>
    <w:p w14:paraId="782F3579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It captures the emotions and personal perspectives of the speakers. (2 marks)</w:t>
      </w:r>
    </w:p>
    <w:p w14:paraId="4822B39F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2: Migration and Settlement</w:t>
      </w:r>
    </w:p>
    <w:p w14:paraId="731D2A25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Group: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Semites. </w:t>
      </w:r>
      <w:r>
        <w:rPr>
          <w:rFonts w:ascii="Comic Sans MS" w:cs="Times New Roman" w:eastAsia="Times New Roman" w:hAnsi="Comic Sans MS"/>
          <w:sz w:val="24"/>
          <w:szCs w:val="24"/>
        </w:rPr>
        <w:t>(1 mark)</w:t>
      </w:r>
    </w:p>
    <w:p w14:paraId="49311C08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Reasons for Migration: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Search for pasture/water for livestock; internal conflicts; population pressure; outbreaks of diseases. (2 marks)</w:t>
      </w:r>
    </w:p>
    <w:p w14:paraId="7716FA57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Sub-group: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Nandi / </w:t>
      </w:r>
      <w:r>
        <w:rPr>
          <w:rFonts w:ascii="Comic Sans MS" w:cs="Times New Roman" w:eastAsia="Times New Roman" w:hAnsi="Comic Sans MS"/>
          <w:sz w:val="24"/>
          <w:szCs w:val="24"/>
        </w:rPr>
        <w:t>Kipsigis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/ Keiyo / </w:t>
      </w:r>
      <w:r>
        <w:rPr>
          <w:rFonts w:ascii="Comic Sans MS" w:cs="Times New Roman" w:eastAsia="Times New Roman" w:hAnsi="Comic Sans MS"/>
          <w:sz w:val="24"/>
          <w:szCs w:val="24"/>
        </w:rPr>
        <w:t>Marakwet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/ </w:t>
      </w:r>
      <w:r>
        <w:rPr>
          <w:rFonts w:ascii="Comic Sans MS" w:cs="Times New Roman" w:eastAsia="Times New Roman" w:hAnsi="Comic Sans MS"/>
          <w:sz w:val="24"/>
          <w:szCs w:val="24"/>
        </w:rPr>
        <w:t>Tugen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/ </w:t>
      </w:r>
      <w:r>
        <w:rPr>
          <w:rFonts w:ascii="Comic Sans MS" w:cs="Times New Roman" w:eastAsia="Times New Roman" w:hAnsi="Comic Sans MS"/>
          <w:sz w:val="24"/>
          <w:szCs w:val="24"/>
        </w:rPr>
        <w:t>Pokot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/ </w:t>
      </w:r>
      <w:r>
        <w:rPr>
          <w:rFonts w:ascii="Comic Sans MS" w:cs="Times New Roman" w:eastAsia="Times New Roman" w:hAnsi="Comic Sans MS"/>
          <w:sz w:val="24"/>
          <w:szCs w:val="24"/>
        </w:rPr>
        <w:t>Sabaot</w:t>
      </w:r>
      <w:r>
        <w:rPr>
          <w:rFonts w:ascii="Comic Sans MS" w:cs="Times New Roman" w:eastAsia="Times New Roman" w:hAnsi="Comic Sans MS"/>
          <w:sz w:val="24"/>
          <w:szCs w:val="24"/>
        </w:rPr>
        <w:t>. (1 mark)</w:t>
      </w:r>
    </w:p>
    <w:p w14:paraId="28688E64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3: Colonial Establishment</w:t>
      </w:r>
    </w:p>
    <w:p w14:paraId="629F37E6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Method: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Signing of Treaties / Diplomacy. (1 mark)</w:t>
      </w:r>
    </w:p>
    <w:p w14:paraId="54C8C465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Other Methods: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Force (military conquest); divide and rule; use of company rule (IBEA Co). (2 marks)</w:t>
      </w:r>
    </w:p>
    <w:p w14:paraId="3BA42D86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4: Public Participation and Resources</w:t>
      </w:r>
    </w:p>
    <w:p w14:paraId="DB4E14B0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Category: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Public Resources / Physical Infrastructure. (1 mark)</w:t>
      </w:r>
    </w:p>
    <w:p w14:paraId="DF90D070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Sustainable Utilization: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Paying taxes for maintenance; reporting vandalism; proper use of the facility to avoid damage. (2 marks)</w:t>
      </w:r>
    </w:p>
    <w:p w14:paraId="6859E1FF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5: Industrial Revolutions</w:t>
      </w:r>
    </w:p>
    <w:p w14:paraId="8FA39BF0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1st Industrial Revolution Energy: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Coal / Steam power. (1 mark)</w:t>
      </w:r>
    </w:p>
    <w:p w14:paraId="C8225627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4th Industrial Revolution Tech: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Artificial Intelligence (AI); Robotics; Internet of Things (</w:t>
      </w:r>
      <w:r>
        <w:rPr>
          <w:rFonts w:ascii="Comic Sans MS" w:cs="Times New Roman" w:eastAsia="Times New Roman" w:hAnsi="Comic Sans MS"/>
          <w:sz w:val="24"/>
          <w:szCs w:val="24"/>
        </w:rPr>
        <w:t>IoT</w:t>
      </w:r>
      <w:r>
        <w:rPr>
          <w:rFonts w:ascii="Comic Sans MS" w:cs="Times New Roman" w:eastAsia="Times New Roman" w:hAnsi="Comic Sans MS"/>
          <w:sz w:val="24"/>
          <w:szCs w:val="24"/>
        </w:rPr>
        <w:t>); Big Data. (1 mark)</w:t>
      </w:r>
    </w:p>
    <w:p w14:paraId="D29DCACD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1271436D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6: International Organizations</w:t>
      </w:r>
    </w:p>
    <w:p w14:paraId="AD0EFDDA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Organization: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Commonwealth. (1 mark)</w:t>
      </w:r>
    </w:p>
    <w:p w14:paraId="1897A117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Challenge: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Cultural differences; economic disparities between members; political instability in some member states. (1 mark)</w:t>
      </w:r>
    </w:p>
    <w:p w14:paraId="65D5CF6C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7: Citizenship and Integration</w:t>
      </w:r>
    </w:p>
    <w:p w14:paraId="4A5F30A2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Economic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mark)</w:t>
      </w:r>
    </w:p>
    <w:p w14:paraId="2674824B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Social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mark)</w:t>
      </w:r>
    </w:p>
    <w:p w14:paraId="8D5CDF99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Political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mark)</w:t>
      </w:r>
    </w:p>
    <w:p w14:paraId="87039FD6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8: Early Civilizations</w:t>
      </w:r>
    </w:p>
    <w:p w14:paraId="BA9A1E9D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Growth of Buganda: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Strong centralized leadership (the </w:t>
      </w:r>
      <w:r>
        <w:rPr>
          <w:rFonts w:ascii="Comic Sans MS" w:cs="Times New Roman" w:eastAsia="Times New Roman" w:hAnsi="Comic Sans MS"/>
          <w:sz w:val="24"/>
          <w:szCs w:val="24"/>
        </w:rPr>
        <w:t>Kabaka</w:t>
      </w:r>
      <w:r>
        <w:rPr>
          <w:rFonts w:ascii="Comic Sans MS" w:cs="Times New Roman" w:eastAsia="Times New Roman" w:hAnsi="Comic Sans MS"/>
          <w:sz w:val="24"/>
          <w:szCs w:val="24"/>
        </w:rPr>
        <w:t>); participation in long-distance trade; fertile soils/good climate for food security; professional army. (2 marks)</w:t>
      </w:r>
    </w:p>
    <w:p w14:paraId="A04302B4">
      <w:pPr>
        <w:pStyle w:val="style0"/>
        <w:spacing w:before="100" w:beforeAutospacing="true" w:after="100" w:afterAutospacing="true" w:lineRule="auto" w:line="240"/>
        <w:ind w:left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SECTION B: (50 MARKS)</w:t>
      </w:r>
    </w:p>
    <w:p w14:paraId="0E463A64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9: The American Revolution (12 Marks)</w:t>
      </w:r>
    </w:p>
    <w:p w14:paraId="C6C8A694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Event: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Boston Tea Party. (1 mark)</w:t>
      </w:r>
    </w:p>
    <w:p w14:paraId="2639E492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Leaders: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Thomas Jefferson, Samuel Adams, George Washington, Thomas Paine, James Otis. (Any 3 x 1 = 3 marks)</w:t>
      </w:r>
    </w:p>
    <w:p w14:paraId="849949FB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Impacts:</w:t>
      </w:r>
    </w:p>
    <w:p w14:paraId="4830E6A7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Inspired the French Revolution.</w:t>
      </w:r>
    </w:p>
    <w:p w14:paraId="9A54F1E2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Led to the spread of democratic ideals and constitutionalism.</w:t>
      </w:r>
    </w:p>
    <w:p w14:paraId="6DDEF21B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Encouraged other colonized people (including Africans) to fight for self-determination.</w:t>
      </w:r>
    </w:p>
    <w:p w14:paraId="D06D1790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Prompted Britain to rethink its colonial policies to avoid similar losses elsewhere.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(4 x 2 = 8 marks)</w:t>
      </w:r>
    </w:p>
    <w:p w14:paraId="B2073532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10: Modern Slavery and Servitude (12 Marks)</w:t>
      </w:r>
    </w:p>
    <w:p w14:paraId="494CAA5F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Form: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Human Trafficking / Forced Labour. (2 marks)</w:t>
      </w:r>
    </w:p>
    <w:p w14:paraId="A0F0BD8A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Factors: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Poverty/unemployment; lack of education; weak legal enforcement; high demand for cheap labor. (Any 2 x 1 = 2 marks)</w:t>
      </w:r>
    </w:p>
    <w:p w14:paraId="D062AC3B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Roles of Abolitionists:</w:t>
      </w:r>
    </w:p>
    <w:p w14:paraId="1E912324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William Wilberforce: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Led the parliamentary campaign in Britain to pass the Slave Trade Act of 1807.</w:t>
      </w:r>
    </w:p>
    <w:p w14:paraId="DBB130EC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Harriet Tubman: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Risked her life on the "Underground Railroad" to lead enslaved people to freedom in the US.</w:t>
      </w:r>
    </w:p>
    <w:p w14:paraId="37302A98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Legacy: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They established the moral and legal framework that modern NGOs use to advocate for human rights today. (8 marks)</w:t>
      </w:r>
    </w:p>
    <w:p w14:paraId="376747A4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11: Constitutional and Political Developments (13 Marks)</w:t>
      </w:r>
    </w:p>
    <w:p w14:paraId="BC8EA8F8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Section 2A Significance: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Its repeal in 1991 marked the end of the one-party state and the return of multi-party democracy in Kenya. (2 marks)</w:t>
      </w:r>
    </w:p>
    <w:p w14:paraId="08AA5A30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Functions of IEBC: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Voter registration; delimitation of boundaries; conducting and supervising elections/referendums; voter education. (Any 3 x 1 = 3 marks)</w:t>
      </w:r>
    </w:p>
    <w:p w14:paraId="18C01FCC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Challenges: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Post-election violence; negative ethnicity/tribalism; corruption; political assassinations; interference with the independence of the judiciary/legislature. (4 x 2 = 8 marks)</w:t>
      </w:r>
    </w:p>
    <w:p w14:paraId="EA8492FF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Question 12: Human Developments and Global Wars (13 Marks)</w:t>
      </w:r>
    </w:p>
    <w:p w14:paraId="BB1D3702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Sedentary Lifestyle Factors: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Discovery of agriculture (farming); domestication of animals; reliable water sources; need for security. (Any 3 x 1 = 3 marks)</w:t>
      </w:r>
    </w:p>
    <w:p w14:paraId="74623662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Effects: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Permanent settlements (villages/cities); specialization of labor; surplus food production; social stratification. (Any 2 x 1 = 2 marks)</w:t>
      </w:r>
    </w:p>
    <w:p w14:paraId="3E3DA6AA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Effects of WWII on Africa:</w:t>
      </w:r>
    </w:p>
    <w:p w14:paraId="02EC961E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Economic: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Increased demand for African raw materials; but also inflation and debt.</w:t>
      </w:r>
    </w:p>
    <w:p w14:paraId="E7A8577E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Social: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Loss of lives; return of veterans who demanded equality; improved medical knowledge.</w:t>
      </w:r>
    </w:p>
    <w:p w14:paraId="AB73BC5E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Political: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Growth of nationalism as veterans realized Europeans were not invincible; accelerated the push for independence. (8 marks)</w:t>
      </w:r>
    </w:p>
    <w:p w14:paraId="C37949E7">
      <w:pPr>
        <w:pStyle w:val="style2"/>
        <w:ind w:left="360"/>
        <w:rPr>
          <w:sz w:val="24"/>
          <w:szCs w:val="24"/>
        </w:rPr>
      </w:pPr>
    </w:p>
    <w:p w14:paraId="81CCDEC0">
      <w:pPr>
        <w:pStyle w:val="style2"/>
        <w:rPr/>
      </w:pPr>
    </w:p>
    <w:bookmarkStart w:id="1" w:name="_GoBack"/>
    <w:bookmarkEnd w:id="1"/>
    <w:p w14:paraId="1D056FDF">
      <w:pPr>
        <w:pStyle w:val="style2"/>
        <w:rPr/>
      </w:pPr>
    </w:p>
    <w:sectPr>
      <w:pgSz w:w="12240" w:h="15840" w:orient="portrait"/>
      <w:pgMar w:top="450" w:right="100" w:bottom="0" w:left="72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Agency FB">
    <w:altName w:val="Agency FB"/>
    <w:panose1 w:val="020b0503020002020204"/>
    <w:charset w:val="00"/>
    <w:family w:val="swiss"/>
    <w:pitch w:val="variable"/>
    <w:sig w:usb0="00000003" w:usb1="00000000" w:usb2="00000000" w:usb3="00000000" w:csb0="00000001" w:csb1="00000000"/>
  </w:font>
  <w:font w:name="Comic Sans MS">
    <w:altName w:val="Comic Sans MS"/>
    <w:panose1 w:val="030f0702030003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A3B013D2"/>
    <w:lvl w:ilvl="0" w:tplc="991C436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DBDAD580"/>
    <w:lvl w:ilvl="0" w:tplc="991C436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95A41C44"/>
    <w:lvl w:ilvl="0" w:tplc="991C436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44C47250"/>
    <w:lvl w:ilvl="0" w:tplc="991C436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DBDAD580"/>
    <w:lvl w:ilvl="0" w:tplc="991C436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DBDAD580"/>
    <w:lvl w:ilvl="0" w:tplc="991C436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A3B013D2"/>
    <w:lvl w:ilvl="0" w:tplc="991C436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A3B013D2"/>
    <w:lvl w:ilvl="0" w:tplc="991C436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multilevel"/>
    <w:tmpl w:val="EA100CFC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9">
    <w:nsid w:val="00000009"/>
    <w:multiLevelType w:val="hybridMultilevel"/>
    <w:tmpl w:val="95A41C44"/>
    <w:lvl w:ilvl="0" w:tplc="991C436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A3B013D2"/>
    <w:lvl w:ilvl="0" w:tplc="991C436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D98EC8A2"/>
    <w:lvl w:ilvl="0" w:tplc="991C436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000000C"/>
    <w:multiLevelType w:val="hybridMultilevel"/>
    <w:tmpl w:val="DBDAD580"/>
    <w:lvl w:ilvl="0" w:tplc="991C436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D"/>
    <w:multiLevelType w:val="hybridMultilevel"/>
    <w:tmpl w:val="8DC41FFE"/>
    <w:lvl w:ilvl="0" w:tplc="D5CC911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000000E"/>
    <w:multiLevelType w:val="hybridMultilevel"/>
    <w:tmpl w:val="DBDAD580"/>
    <w:lvl w:ilvl="0" w:tplc="991C436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000000F"/>
    <w:multiLevelType w:val="hybridMultilevel"/>
    <w:tmpl w:val="8F565F28"/>
    <w:lvl w:ilvl="0" w:tplc="991C436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A3B013D2"/>
    <w:lvl w:ilvl="0" w:tplc="991C436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0000011"/>
    <w:multiLevelType w:val="hybridMultilevel"/>
    <w:tmpl w:val="DBDAD580"/>
    <w:lvl w:ilvl="0" w:tplc="991C436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A3B013D2"/>
    <w:lvl w:ilvl="0" w:tplc="991C436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"/>
  </w:num>
  <w:num w:numId="4">
    <w:abstractNumId w:val="9"/>
  </w:num>
  <w:num w:numId="5">
    <w:abstractNumId w:val="11"/>
  </w:num>
  <w:num w:numId="6">
    <w:abstractNumId w:val="18"/>
  </w:num>
  <w:num w:numId="7">
    <w:abstractNumId w:val="6"/>
  </w:num>
  <w:num w:numId="8">
    <w:abstractNumId w:val="7"/>
  </w:num>
  <w:num w:numId="9">
    <w:abstractNumId w:val="15"/>
  </w:num>
  <w:num w:numId="10">
    <w:abstractNumId w:val="16"/>
  </w:num>
  <w:num w:numId="11">
    <w:abstractNumId w:val="10"/>
  </w:num>
  <w:num w:numId="12">
    <w:abstractNumId w:val="0"/>
  </w:num>
  <w:num w:numId="13">
    <w:abstractNumId w:val="17"/>
  </w:num>
  <w:num w:numId="14">
    <w:abstractNumId w:val="14"/>
  </w:num>
  <w:num w:numId="15">
    <w:abstractNumId w:val="1"/>
  </w:num>
  <w:num w:numId="16">
    <w:abstractNumId w:val="3"/>
  </w:num>
  <w:num w:numId="17">
    <w:abstractNumId w:val="5"/>
  </w:num>
  <w:num w:numId="18">
    <w:abstractNumId w:val="12"/>
  </w:num>
  <w:num w:numId="19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TrueTypeFonts/>
  <w:embedSystemFonts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pPr>
      <w:spacing w:before="120" w:after="240"/>
      <w:jc w:val="both"/>
    </w:pPr>
    <w:rPr/>
  </w:style>
  <w:style w:type="paragraph" w:styleId="style1">
    <w:name w:val="heading 1"/>
    <w:basedOn w:val="style0"/>
    <w:next w:val="style0"/>
    <w:link w:val="style4101"/>
    <w:pPr>
      <w:keepNext/>
      <w:keepLines/>
      <w:spacing w:before="480" w:after="0"/>
      <w:outlineLvl w:val="0"/>
    </w:pPr>
    <w:rPr>
      <w:rFonts w:ascii="Cambria" w:cs="Times New Roman" w:eastAsia="宋体" w:hAnsi="Cambria"/>
      <w:b/>
      <w:bCs/>
      <w:color w:val="365f91"/>
      <w:sz w:val="28"/>
      <w:szCs w:val="28"/>
    </w:rPr>
  </w:style>
  <w:style w:type="paragraph" w:styleId="style2">
    <w:name w:val="heading 2"/>
    <w:basedOn w:val="style0"/>
    <w:next w:val="style2"/>
    <w:link w:val="style4098"/>
    <w:qFormat/>
    <w:uiPriority w:val="9"/>
    <w:pPr>
      <w:spacing w:before="100" w:beforeAutospacing="true" w:after="100" w:afterAutospacing="true" w:lineRule="auto" w:line="240"/>
      <w:jc w:val="left"/>
      <w:outlineLvl w:val="1"/>
    </w:pPr>
    <w:rPr>
      <w:rFonts w:ascii="Times New Roman" w:cs="Times New Roman" w:eastAsia="Times New Roman" w:hAnsi="Times New Roman"/>
      <w:b/>
      <w:bCs/>
      <w:sz w:val="36"/>
      <w:szCs w:val="36"/>
    </w:rPr>
  </w:style>
  <w:style w:type="paragraph" w:styleId="style3">
    <w:name w:val="heading 3"/>
    <w:basedOn w:val="style0"/>
    <w:next w:val="style3"/>
    <w:link w:val="style4099"/>
    <w:qFormat/>
    <w:uiPriority w:val="9"/>
    <w:pPr>
      <w:spacing w:before="100" w:beforeAutospacing="true" w:after="100" w:afterAutospacing="true" w:lineRule="auto" w:line="240"/>
      <w:jc w:val="left"/>
      <w:outlineLvl w:val="2"/>
    </w:pPr>
    <w:rPr>
      <w:rFonts w:ascii="Times New Roman" w:cs="Times New Roman" w:eastAsia="Times New Roman" w:hAnsi="Times New Roman"/>
      <w:b/>
      <w:bCs/>
      <w:sz w:val="27"/>
      <w:szCs w:val="27"/>
    </w:rPr>
  </w:style>
  <w:style w:type="paragraph" w:styleId="style4">
    <w:name w:val="heading 4"/>
    <w:basedOn w:val="style0"/>
    <w:next w:val="style0"/>
    <w:link w:val="style4102"/>
    <w:pPr>
      <w:keepNext/>
      <w:keepLines/>
      <w:spacing w:before="200" w:after="0"/>
      <w:outlineLvl w:val="3"/>
    </w:pPr>
    <w:rPr>
      <w:rFonts w:ascii="Cambria" w:cs="Times New Roman" w:eastAsia="宋体" w:hAnsi="Cambria"/>
      <w:b/>
      <w:bCs/>
      <w:i/>
      <w:iCs/>
      <w:color w:val="4f81bd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No List1"/>
    <w:next w:val="style4097"/>
    <w:pPr/>
  </w:style>
  <w:style w:type="character" w:customStyle="1" w:styleId="style4098">
    <w:name w:val="Heading 2 Char_f952f1cd-770a-43dc-a231-62ef9a826358"/>
    <w:basedOn w:val="style65"/>
    <w:next w:val="style4098"/>
    <w:link w:val="style2"/>
    <w:uiPriority w:val="9"/>
    <w:rPr>
      <w:rFonts w:ascii="Times New Roman" w:cs="Times New Roman" w:eastAsia="Times New Roman" w:hAnsi="Times New Roman"/>
      <w:b/>
      <w:bCs/>
      <w:sz w:val="36"/>
      <w:szCs w:val="36"/>
    </w:rPr>
  </w:style>
  <w:style w:type="character" w:customStyle="1" w:styleId="style4099">
    <w:name w:val="Heading 3 Char_841d20b2-309d-4152-a873-2971571641c7"/>
    <w:basedOn w:val="style65"/>
    <w:next w:val="style4099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  <w:jc w:val="left"/>
    </w:pPr>
    <w:rPr>
      <w:rFonts w:ascii="Times New Roman" w:cs="Times New Roman" w:eastAsia="Times New Roman" w:hAnsi="Times New Roman"/>
      <w:sz w:val="24"/>
      <w:szCs w:val="24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styleId="style154">
    <w:name w:val="Table Grid"/>
    <w:basedOn w:val="style105"/>
    <w:next w:val="style154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79">
    <w:name w:val="List Paragraph"/>
    <w:basedOn w:val="style0"/>
    <w:next w:val="style179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100"/>
    <w:pPr>
      <w:spacing w:before="0"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0">
    <w:name w:val="Balloon Text Char"/>
    <w:basedOn w:val="style65"/>
    <w:next w:val="style4100"/>
    <w:link w:val="style153"/>
    <w:rPr>
      <w:rFonts w:ascii="Tahoma" w:cs="Tahoma" w:hAnsi="Tahoma"/>
      <w:sz w:val="16"/>
      <w:szCs w:val="16"/>
    </w:rPr>
  </w:style>
  <w:style w:type="character" w:customStyle="1" w:styleId="style4101">
    <w:name w:val="Heading 1 Char_799ac39e-1718-439d-92ec-7bd720ac4fed"/>
    <w:basedOn w:val="style65"/>
    <w:next w:val="style4101"/>
    <w:link w:val="style1"/>
    <w:rPr>
      <w:rFonts w:ascii="Cambria" w:cs="Times New Roman" w:eastAsia="宋体" w:hAnsi="Cambria"/>
      <w:b/>
      <w:bCs/>
      <w:color w:val="365f91"/>
      <w:sz w:val="28"/>
      <w:szCs w:val="28"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character" w:customStyle="1" w:styleId="style4102">
    <w:name w:val="Heading 4 Char_0fc68ef3-6c77-433f-8ff7-196dced4f168"/>
    <w:basedOn w:val="style65"/>
    <w:next w:val="style4102"/>
    <w:link w:val="style4"/>
    <w:rPr>
      <w:rFonts w:ascii="Cambria" w:cs="Times New Roman" w:eastAsia="宋体" w:hAnsi="Cambria"/>
      <w:b/>
      <w:bCs/>
      <w:i/>
      <w:iCs/>
      <w:color w:val="4f81bd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2.png"/><Relationship Id="rId9" Type="http://schemas.openxmlformats.org/officeDocument/2006/relationships/theme" Target="theme/theme1.xml"/><Relationship Id="rId5" Type="http://schemas.openxmlformats.org/officeDocument/2006/relationships/image" Target="media/image3.png"/><Relationship Id="rId6" Type="http://schemas.openxmlformats.org/officeDocument/2006/relationships/styles" Target="styles.xml"/><Relationship Id="rId7" Type="http://schemas.openxmlformats.org/officeDocument/2006/relationships/fontTable" Target="fontTable.xml"/><Relationship Id="rId8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1506</Words>
  <Pages>1</Pages>
  <Characters>11784</Characters>
  <Application>WPS Office</Application>
  <DocSecurity>0</DocSecurity>
  <Paragraphs>255</Paragraphs>
  <ScaleCrop>false</ScaleCrop>
  <Company>Aspose</Company>
  <LinksUpToDate>false</LinksUpToDate>
  <CharactersWithSpaces>13115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2026-07-23T16:25:53Z</dcterms:created>
  <dc:creator>doc2pdf</dc:creator>
  <lastModifiedBy>Infinix X669</lastModifiedBy>
  <dcterms:modified xsi:type="dcterms:W3CDTF">2026-07-23T16:25:54Z</dcterms:modified>
  <revision>27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549543fe6200449886d803d3c60783be_23</vt:lpwstr>
  </property>
</Properties>
</file>